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
      </w:pPr>
      <w:r>
        <w:rPr>
          <w:rFonts w:ascii="Arial" w:hAnsi="Arial"/>
          <w:b/>
          <w:color w:val="2B2F38"/>
          <w:sz w:val="34"/>
        </w:rPr>
        <w:t>Register for PAYE on SARS eFiling</w:t>
      </w:r>
    </w:p>
    <w:p>
      <w:pPr>
        <w:spacing w:before="0" w:after="280"/>
      </w:pPr>
      <w:r>
        <w:rPr>
          <w:rFonts w:ascii="Arial" w:hAnsi="Arial"/>
          <w:color w:val="6B7280"/>
          <w:sz w:val="19"/>
        </w:rPr>
        <w:t>Employing staff or drawing director remuneration requires formal registration for Pay-As-You-Earn (PAYE) and Skills Development Levy (SDL) on SARS eFiling. Use this guide to navigate the RAV01 registration form, capture correct industry/SETA codes, and activate monthly EMP201 filing returns.</w:t>
      </w:r>
    </w:p>
    <w:p>
      <w:pPr>
        <w:keepNext/>
        <w:spacing w:before="280" w:after="80"/>
      </w:pPr>
      <w:r>
        <w:rPr>
          <w:rFonts w:ascii="Arial" w:hAnsi="Arial"/>
          <w:b/>
          <w:color w:val="2B2F38"/>
          <w:sz w:val="23"/>
        </w:rPr>
        <w:t>1. Foundational Prerequisites &amp; Employer Obligations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 REGULATORY NOTICE: </w:t>
            </w:r>
            <w:r>
              <w:rPr>
                <w:rFonts w:ascii="Arial" w:hAnsi="Arial"/>
                <w:i/>
                <w:color w:val="2B2F38"/>
                <w:sz w:val="18"/>
              </w:rPr>
              <w:t>EMPLOYER STATUTORY OBLIGATIONS: Registering for PAYE is a binding employer commitment. Employers in South Africa must administer PAYE withholding, Unemployment Insurance Fund (UIF 1% employer + 1% employee), Skills Development Levy (SDL 1%), and register for COIDA / Workman's Compensation with the Department of Employment and Labour.</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312"/>
        <w:gridCol w:w="5141"/>
        <w:gridCol w:w="1152"/>
      </w:tblGrid>
      <w:tr>
        <w:tc>
          <w:tcPr>
            <w:tcW w:type="dxa" w:w="3202"/>
            <w:shd w:fill="E5E7EB"/>
            <w:tcMar>
              <w:top w:w="100" w:type="dxa"/>
              <w:bottom w:w="100" w:type="dxa"/>
              <w:left w:w="100" w:type="dxa"/>
              <w:right w:w="100" w:type="dxa"/>
            </w:tcMar>
          </w:tcPr>
          <w:p>
            <w:pPr>
              <w:jc w:val="left"/>
            </w:pPr>
            <w:r>
              <w:rPr>
                <w:rFonts w:ascii="Arial" w:hAnsi="Arial"/>
                <w:b/>
                <w:color w:val="2B2F38"/>
                <w:sz w:val="18"/>
              </w:rPr>
              <w:t>Compliance Prerequisite</w:t>
            </w:r>
          </w:p>
        </w:tc>
        <w:tc>
          <w:tcPr>
            <w:tcW w:type="dxa" w:w="3202"/>
            <w:shd w:fill="E5E7EB"/>
            <w:tcMar>
              <w:top w:w="100" w:type="dxa"/>
              <w:bottom w:w="100" w:type="dxa"/>
              <w:left w:w="100" w:type="dxa"/>
              <w:right w:w="100" w:type="dxa"/>
            </w:tcMar>
          </w:tcPr>
          <w:p>
            <w:pPr>
              <w:jc w:val="left"/>
            </w:pPr>
            <w:r>
              <w:rPr>
                <w:rFonts w:ascii="Arial" w:hAnsi="Arial"/>
                <w:b/>
                <w:color w:val="2B2F38"/>
                <w:sz w:val="18"/>
              </w:rPr>
              <w:t>Statutory Verification Standard</w:t>
            </w:r>
          </w:p>
        </w:tc>
        <w:tc>
          <w:tcPr>
            <w:tcW w:type="dxa" w:w="3202"/>
            <w:shd w:fill="E5E7EB"/>
            <w:tcMar>
              <w:top w:w="100" w:type="dxa"/>
              <w:bottom w:w="100" w:type="dxa"/>
              <w:left w:w="100" w:type="dxa"/>
              <w:right w:w="100" w:type="dxa"/>
            </w:tcMar>
          </w:tcPr>
          <w:p>
            <w:pPr>
              <w:jc w:val="center"/>
            </w:pPr>
            <w:r>
              <w:rPr>
                <w:rFonts w:ascii="Arial" w:hAnsi="Arial"/>
                <w:b/>
                <w:color w:val="2B2F38"/>
                <w:sz w:val="18"/>
              </w:rPr>
              <w:t>Ready?</w:t>
            </w:r>
          </w:p>
        </w:tc>
      </w:tr>
      <w:tr>
        <w:tc>
          <w:tcPr>
            <w:tcW w:type="dxa" w:w="3202"/>
            <w:tcMar>
              <w:top w:w="100" w:type="dxa"/>
              <w:bottom w:w="100" w:type="dxa"/>
              <w:left w:w="100" w:type="dxa"/>
              <w:right w:w="100" w:type="dxa"/>
            </w:tcMar>
          </w:tcPr>
          <w:p>
            <w:r>
              <w:rPr>
                <w:rFonts w:ascii="Arial" w:hAnsi="Arial"/>
                <w:b/>
                <w:color w:val="2B2F38"/>
                <w:sz w:val="17"/>
              </w:rPr>
              <w:t>Linked eFiling Entity Profile</w:t>
            </w:r>
          </w:p>
        </w:tc>
        <w:tc>
          <w:tcPr>
            <w:tcW w:type="dxa" w:w="3202"/>
            <w:tcMar>
              <w:top w:w="100" w:type="dxa"/>
              <w:bottom w:w="100" w:type="dxa"/>
              <w:left w:w="100" w:type="dxa"/>
              <w:right w:w="100" w:type="dxa"/>
            </w:tcMar>
          </w:tcPr>
          <w:p>
            <w:r>
              <w:rPr>
                <w:rFonts w:ascii="Arial" w:hAnsi="Arial"/>
                <w:color w:val="6B7280"/>
                <w:sz w:val="16"/>
              </w:rPr>
              <w:t>Company is fully registered and linked under your 'Organizations' portfolio view (completed via Worksheet 2.6).</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Approved Registered Representative</w:t>
            </w:r>
          </w:p>
        </w:tc>
        <w:tc>
          <w:tcPr>
            <w:tcW w:type="dxa" w:w="3202"/>
            <w:tcMar>
              <w:top w:w="100" w:type="dxa"/>
              <w:bottom w:w="100" w:type="dxa"/>
              <w:left w:w="100" w:type="dxa"/>
              <w:right w:w="100" w:type="dxa"/>
            </w:tcMar>
          </w:tcPr>
          <w:p>
            <w:r>
              <w:rPr>
                <w:rFonts w:ascii="Arial" w:hAnsi="Arial"/>
                <w:color w:val="6B7280"/>
                <w:sz w:val="16"/>
              </w:rPr>
              <w:t>Public Officer appointment is active on SARS records and linked to your profile (completed via Worksheet 2.5).</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Labor &amp; Statutory Review</w:t>
            </w:r>
          </w:p>
        </w:tc>
        <w:tc>
          <w:tcPr>
            <w:tcW w:type="dxa" w:w="3202"/>
            <w:tcMar>
              <w:top w:w="100" w:type="dxa"/>
              <w:bottom w:w="100" w:type="dxa"/>
              <w:left w:w="100" w:type="dxa"/>
              <w:right w:w="100" w:type="dxa"/>
            </w:tcMar>
          </w:tcPr>
          <w:p>
            <w:r>
              <w:rPr>
                <w:rFonts w:ascii="Arial" w:hAnsi="Arial"/>
                <w:color w:val="6B7280"/>
                <w:sz w:val="16"/>
              </w:rPr>
              <w:t>Understanding of mandatory PAYE withholding thresholds, UIF monthly declarations, and COIDA annual returns.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Active Registered Device</w:t>
            </w:r>
          </w:p>
        </w:tc>
        <w:tc>
          <w:tcPr>
            <w:tcW w:type="dxa" w:w="3202"/>
            <w:tcMar>
              <w:top w:w="100" w:type="dxa"/>
              <w:bottom w:w="100" w:type="dxa"/>
              <w:left w:w="100" w:type="dxa"/>
              <w:right w:w="100" w:type="dxa"/>
            </w:tcMar>
          </w:tcPr>
          <w:p>
            <w:r>
              <w:rPr>
                <w:rFonts w:ascii="Arial" w:hAnsi="Arial"/>
                <w:color w:val="6B7280"/>
                <w:sz w:val="16"/>
              </w:rPr>
              <w:t>Phone registered on SARS profile kept active and nearby for biometric facial verification and 3-minute OTPs.</w:t>
            </w:r>
          </w:p>
        </w:tc>
        <w:tc>
          <w:tcPr>
            <w:tcW w:type="dxa" w:w="3202"/>
            <w:tcMar>
              <w:top w:w="100" w:type="dxa"/>
              <w:bottom w:w="100" w:type="dxa"/>
              <w:left w:w="100" w:type="dxa"/>
              <w:right w:w="100" w:type="dxa"/>
            </w:tcMar>
          </w:tcPr>
          <w:p>
            <w:pPr>
              <w:jc w:val="center"/>
            </w:pPr>
            <w:r>
              <w:rPr>
                <w:rFonts w:ascii="Arial" w:hAnsi="Arial"/>
                <w:b/>
                <w:color w:val="2B2F38"/>
                <w:sz w:val="18"/>
              </w:rPr>
              <w:t>[   ]</w:t>
            </w:r>
          </w:p>
        </w:tc>
      </w:tr>
    </w:tbl>
    <w:p>
      <w:pPr>
        <w:spacing w:before="80" w:after="40"/>
      </w:pPr>
    </w:p>
    <w:p>
      <w:pPr>
        <w:keepNext/>
        <w:spacing w:before="280" w:after="80"/>
      </w:pPr>
      <w:r>
        <w:rPr>
          <w:rFonts w:ascii="Arial" w:hAnsi="Arial"/>
          <w:b/>
          <w:color w:val="2B2F38"/>
          <w:sz w:val="23"/>
        </w:rPr>
        <w:t>2. Navigating the RAV01 Form (Maintain Taxpayer Details)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 REGULATORY NOTICE: </w:t>
            </w:r>
            <w:r>
              <w:rPr>
                <w:rFonts w:ascii="Arial" w:hAnsi="Arial"/>
                <w:i/>
                <w:color w:val="2B2F38"/>
                <w:sz w:val="18"/>
              </w:rPr>
              <w:t>BIOMETRIC VERIFICATION ALERT: When opening Maintain SARS Registered Details, SARS security may prompt real-time biometric verification. SARS will send an SMS to your registered mobile device with a secure link to complete facial verification before opening the form.</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864"/>
        <w:gridCol w:w="3168"/>
        <w:gridCol w:w="5573"/>
      </w:tblGrid>
      <w:tr>
        <w:tc>
          <w:tcPr>
            <w:tcW w:type="dxa" w:w="3202"/>
            <w:shd w:fill="E5E7EB"/>
            <w:tcMar>
              <w:top w:w="100" w:type="dxa"/>
              <w:bottom w:w="100" w:type="dxa"/>
              <w:left w:w="100" w:type="dxa"/>
              <w:right w:w="100" w:type="dxa"/>
            </w:tcMar>
          </w:tcPr>
          <w:p>
            <w:pPr>
              <w:jc w:val="center"/>
            </w:pPr>
            <w:r>
              <w:rPr>
                <w:rFonts w:ascii="Arial" w:hAnsi="Arial"/>
                <w:b/>
                <w:color w:val="2B2F38"/>
                <w:sz w:val="18"/>
              </w:rPr>
              <w:t>Step</w:t>
            </w:r>
          </w:p>
        </w:tc>
        <w:tc>
          <w:tcPr>
            <w:tcW w:type="dxa" w:w="3202"/>
            <w:shd w:fill="E5E7EB"/>
            <w:tcMar>
              <w:top w:w="100" w:type="dxa"/>
              <w:bottom w:w="100" w:type="dxa"/>
              <w:left w:w="100" w:type="dxa"/>
              <w:right w:w="100" w:type="dxa"/>
            </w:tcMar>
          </w:tcPr>
          <w:p>
            <w:pPr>
              <w:jc w:val="left"/>
            </w:pPr>
            <w:r>
              <w:rPr>
                <w:rFonts w:ascii="Arial" w:hAnsi="Arial"/>
                <w:b/>
                <w:color w:val="2B2F38"/>
                <w:sz w:val="18"/>
              </w:rPr>
              <w:t>Portal Navigation Path</w:t>
            </w:r>
          </w:p>
        </w:tc>
        <w:tc>
          <w:tcPr>
            <w:tcW w:type="dxa" w:w="3202"/>
            <w:shd w:fill="E5E7EB"/>
            <w:tcMar>
              <w:top w:w="100" w:type="dxa"/>
              <w:bottom w:w="100" w:type="dxa"/>
              <w:left w:w="100" w:type="dxa"/>
              <w:right w:w="100" w:type="dxa"/>
            </w:tcMar>
          </w:tcPr>
          <w:p>
            <w:pPr>
              <w:jc w:val="left"/>
            </w:pPr>
            <w:r>
              <w:rPr>
                <w:rFonts w:ascii="Arial" w:hAnsi="Arial"/>
                <w:b/>
                <w:color w:val="2B2F38"/>
                <w:sz w:val="18"/>
              </w:rPr>
              <w:t>Action Instructions &amp; Verification Standard</w:t>
            </w:r>
          </w:p>
        </w:tc>
      </w:tr>
      <w:tr>
        <w:tc>
          <w:tcPr>
            <w:tcW w:type="dxa" w:w="3202"/>
            <w:tcMar>
              <w:top w:w="100" w:type="dxa"/>
              <w:bottom w:w="100" w:type="dxa"/>
              <w:left w:w="100" w:type="dxa"/>
              <w:right w:w="100" w:type="dxa"/>
            </w:tcMar>
          </w:tcPr>
          <w:p>
            <w:pPr>
              <w:jc w:val="center"/>
            </w:pPr>
            <w:r>
              <w:rPr>
                <w:rFonts w:ascii="Arial" w:hAnsi="Arial"/>
                <w:b/>
                <w:color w:val="D4A243"/>
                <w:sz w:val="18"/>
              </w:rPr>
              <w:t>01</w:t>
            </w:r>
          </w:p>
        </w:tc>
        <w:tc>
          <w:tcPr>
            <w:tcW w:type="dxa" w:w="3202"/>
            <w:tcMar>
              <w:top w:w="100" w:type="dxa"/>
              <w:bottom w:w="100" w:type="dxa"/>
              <w:left w:w="100" w:type="dxa"/>
              <w:right w:w="100" w:type="dxa"/>
            </w:tcMar>
          </w:tcPr>
          <w:p>
            <w:r>
              <w:rPr>
                <w:rFonts w:ascii="Arial" w:hAnsi="Arial"/>
                <w:b/>
                <w:color w:val="2B2F38"/>
                <w:sz w:val="17"/>
              </w:rPr>
              <w:t>Select Organizations Menu</w:t>
            </w:r>
          </w:p>
        </w:tc>
        <w:tc>
          <w:tcPr>
            <w:tcW w:type="dxa" w:w="3202"/>
            <w:tcMar>
              <w:top w:w="100" w:type="dxa"/>
              <w:bottom w:w="100" w:type="dxa"/>
              <w:left w:w="100" w:type="dxa"/>
              <w:right w:w="100" w:type="dxa"/>
            </w:tcMar>
          </w:tcPr>
          <w:p>
            <w:r>
              <w:rPr>
                <w:rFonts w:ascii="Arial" w:hAnsi="Arial"/>
                <w:color w:val="6B7280"/>
                <w:sz w:val="16"/>
              </w:rPr>
              <w:t>Log into SARS eFiling and select 'Organizations' from the top primary navigation bar.</w:t>
            </w:r>
          </w:p>
        </w:tc>
      </w:tr>
      <w:tr>
        <w:tc>
          <w:tcPr>
            <w:tcW w:type="dxa" w:w="3202"/>
            <w:tcMar>
              <w:top w:w="100" w:type="dxa"/>
              <w:bottom w:w="100" w:type="dxa"/>
              <w:left w:w="100" w:type="dxa"/>
              <w:right w:w="100" w:type="dxa"/>
            </w:tcMar>
          </w:tcPr>
          <w:p>
            <w:pPr>
              <w:jc w:val="center"/>
            </w:pPr>
            <w:r>
              <w:rPr>
                <w:rFonts w:ascii="Arial" w:hAnsi="Arial"/>
                <w:b/>
                <w:color w:val="D4A243"/>
                <w:sz w:val="18"/>
              </w:rPr>
              <w:t>02</w:t>
            </w:r>
          </w:p>
        </w:tc>
        <w:tc>
          <w:tcPr>
            <w:tcW w:type="dxa" w:w="3202"/>
            <w:tcMar>
              <w:top w:w="100" w:type="dxa"/>
              <w:bottom w:w="100" w:type="dxa"/>
              <w:left w:w="100" w:type="dxa"/>
              <w:right w:w="100" w:type="dxa"/>
            </w:tcMar>
          </w:tcPr>
          <w:p>
            <w:r>
              <w:rPr>
                <w:rFonts w:ascii="Arial" w:hAnsi="Arial"/>
                <w:b/>
                <w:color w:val="2B2F38"/>
                <w:sz w:val="17"/>
              </w:rPr>
              <w:t>Access Registered Details</w:t>
            </w:r>
          </w:p>
        </w:tc>
        <w:tc>
          <w:tcPr>
            <w:tcW w:type="dxa" w:w="3202"/>
            <w:tcMar>
              <w:top w:w="100" w:type="dxa"/>
              <w:bottom w:w="100" w:type="dxa"/>
              <w:left w:w="100" w:type="dxa"/>
              <w:right w:w="100" w:type="dxa"/>
            </w:tcMar>
          </w:tcPr>
          <w:p>
            <w:r>
              <w:rPr>
                <w:rFonts w:ascii="Arial" w:hAnsi="Arial"/>
                <w:color w:val="6B7280"/>
                <w:sz w:val="16"/>
              </w:rPr>
              <w:t>On the left sidebar, click 'SARS Registered Details' to expand the compliance sub-menu.</w:t>
            </w:r>
          </w:p>
        </w:tc>
      </w:tr>
      <w:tr>
        <w:tc>
          <w:tcPr>
            <w:tcW w:type="dxa" w:w="3202"/>
            <w:tcMar>
              <w:top w:w="100" w:type="dxa"/>
              <w:bottom w:w="100" w:type="dxa"/>
              <w:left w:w="100" w:type="dxa"/>
              <w:right w:w="100" w:type="dxa"/>
            </w:tcMar>
          </w:tcPr>
          <w:p>
            <w:pPr>
              <w:jc w:val="center"/>
            </w:pPr>
            <w:r>
              <w:rPr>
                <w:rFonts w:ascii="Arial" w:hAnsi="Arial"/>
                <w:b/>
                <w:color w:val="D4A243"/>
                <w:sz w:val="18"/>
              </w:rPr>
              <w:t>03</w:t>
            </w:r>
          </w:p>
        </w:tc>
        <w:tc>
          <w:tcPr>
            <w:tcW w:type="dxa" w:w="3202"/>
            <w:tcMar>
              <w:top w:w="100" w:type="dxa"/>
              <w:bottom w:w="100" w:type="dxa"/>
              <w:left w:w="100" w:type="dxa"/>
              <w:right w:w="100" w:type="dxa"/>
            </w:tcMar>
          </w:tcPr>
          <w:p>
            <w:r>
              <w:rPr>
                <w:rFonts w:ascii="Arial" w:hAnsi="Arial"/>
                <w:b/>
                <w:color w:val="2B2F38"/>
                <w:sz w:val="17"/>
              </w:rPr>
              <w:t>Open Maintain Details</w:t>
            </w:r>
          </w:p>
        </w:tc>
        <w:tc>
          <w:tcPr>
            <w:tcW w:type="dxa" w:w="3202"/>
            <w:tcMar>
              <w:top w:w="100" w:type="dxa"/>
              <w:bottom w:w="100" w:type="dxa"/>
              <w:left w:w="100" w:type="dxa"/>
              <w:right w:w="100" w:type="dxa"/>
            </w:tcMar>
          </w:tcPr>
          <w:p>
            <w:r>
              <w:rPr>
                <w:rFonts w:ascii="Arial" w:hAnsi="Arial"/>
                <w:color w:val="6B7280"/>
                <w:sz w:val="16"/>
              </w:rPr>
              <w:t>Select 'Maintain SARS Registered Details' from the dropdown options.</w:t>
            </w:r>
          </w:p>
        </w:tc>
      </w:tr>
      <w:tr>
        <w:tc>
          <w:tcPr>
            <w:tcW w:type="dxa" w:w="3202"/>
            <w:tcMar>
              <w:top w:w="100" w:type="dxa"/>
              <w:bottom w:w="100" w:type="dxa"/>
              <w:left w:w="100" w:type="dxa"/>
              <w:right w:w="100" w:type="dxa"/>
            </w:tcMar>
          </w:tcPr>
          <w:p>
            <w:pPr>
              <w:jc w:val="center"/>
            </w:pPr>
            <w:r>
              <w:rPr>
                <w:rFonts w:ascii="Arial" w:hAnsi="Arial"/>
                <w:b/>
                <w:color w:val="D4A243"/>
                <w:sz w:val="18"/>
              </w:rPr>
              <w:t>04</w:t>
            </w:r>
          </w:p>
        </w:tc>
        <w:tc>
          <w:tcPr>
            <w:tcW w:type="dxa" w:w="3202"/>
            <w:tcMar>
              <w:top w:w="100" w:type="dxa"/>
              <w:bottom w:w="100" w:type="dxa"/>
              <w:left w:w="100" w:type="dxa"/>
              <w:right w:w="100" w:type="dxa"/>
            </w:tcMar>
          </w:tcPr>
          <w:p>
            <w:r>
              <w:rPr>
                <w:rFonts w:ascii="Arial" w:hAnsi="Arial"/>
                <w:b/>
                <w:color w:val="2B2F38"/>
                <w:sz w:val="17"/>
              </w:rPr>
              <w:t>Accept Terms &amp; Open RAV01</w:t>
            </w:r>
          </w:p>
        </w:tc>
        <w:tc>
          <w:tcPr>
            <w:tcW w:type="dxa" w:w="3202"/>
            <w:tcMar>
              <w:top w:w="100" w:type="dxa"/>
              <w:bottom w:w="100" w:type="dxa"/>
              <w:left w:w="100" w:type="dxa"/>
              <w:right w:w="100" w:type="dxa"/>
            </w:tcMar>
          </w:tcPr>
          <w:p>
            <w:r>
              <w:rPr>
                <w:rFonts w:ascii="Arial" w:hAnsi="Arial"/>
                <w:color w:val="6B7280"/>
                <w:sz w:val="16"/>
              </w:rPr>
              <w:t>Accept the legal declaration checkbox, complete biometric SMS prompt if triggered, and open the live RAV01 form.</w:t>
            </w:r>
          </w:p>
        </w:tc>
      </w:tr>
    </w:tbl>
    <w:p>
      <w:pPr>
        <w:spacing w:before="80" w:after="40"/>
      </w:pPr>
    </w:p>
    <w:p>
      <w:pPr>
        <w:keepNext/>
        <w:spacing w:before="280" w:after="80"/>
      </w:pPr>
      <w:r>
        <w:rPr>
          <w:rFonts w:ascii="Arial" w:hAnsi="Arial"/>
          <w:b/>
          <w:color w:val="2B2F38"/>
          <w:sz w:val="23"/>
        </w:rPr>
        <w:t>3. Adding Payroll Tax Products (PAYE &amp; SDL Setup)</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 REGULATORY NOTICE: </w:t>
            </w:r>
            <w:r>
              <w:rPr>
                <w:rFonts w:ascii="Arial" w:hAnsi="Arial"/>
                <w:i/>
                <w:color w:val="2B2F38"/>
                <w:sz w:val="18"/>
              </w:rPr>
              <w:t>SDL REGISTRATION THRESHOLD RULE: Mandatory Skills Development Levy (SDL) registration is required if your total projected annual payroll (salaries, wages, bonuses) exceeds R500,000 per annum. If you plan to hire or scale, registering upfront avoids future administrative re-filings.</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168"/>
        <w:gridCol w:w="4032"/>
        <w:gridCol w:w="2405"/>
      </w:tblGrid>
      <w:tr>
        <w:tc>
          <w:tcPr>
            <w:tcW w:type="dxa" w:w="3202"/>
            <w:shd w:fill="E5E7EB"/>
            <w:tcMar>
              <w:top w:w="100" w:type="dxa"/>
              <w:bottom w:w="100" w:type="dxa"/>
              <w:left w:w="100" w:type="dxa"/>
              <w:right w:w="100" w:type="dxa"/>
            </w:tcMar>
          </w:tcPr>
          <w:p>
            <w:r>
              <w:rPr>
                <w:rFonts w:ascii="Arial" w:hAnsi="Arial"/>
                <w:b/>
                <w:color w:val="2B2F38"/>
                <w:sz w:val="18"/>
              </w:rPr>
              <w:t>Payroll Product Field</w:t>
            </w:r>
          </w:p>
        </w:tc>
        <w:tc>
          <w:tcPr>
            <w:tcW w:type="dxa" w:w="3202"/>
            <w:shd w:fill="E5E7EB"/>
            <w:tcMar>
              <w:top w:w="100" w:type="dxa"/>
              <w:bottom w:w="100" w:type="dxa"/>
              <w:left w:w="100" w:type="dxa"/>
              <w:right w:w="100" w:type="dxa"/>
            </w:tcMar>
          </w:tcPr>
          <w:p>
            <w:r>
              <w:rPr>
                <w:rFonts w:ascii="Arial" w:hAnsi="Arial"/>
                <w:b/>
                <w:color w:val="2B2F38"/>
                <w:sz w:val="18"/>
              </w:rPr>
              <w:t>Registration Parameter Guidance</w:t>
            </w:r>
          </w:p>
        </w:tc>
        <w:tc>
          <w:tcPr>
            <w:tcW w:type="dxa" w:w="3202"/>
            <w:shd w:fill="E5E7EB"/>
            <w:tcMar>
              <w:top w:w="100" w:type="dxa"/>
              <w:bottom w:w="100" w:type="dxa"/>
              <w:left w:w="100" w:type="dxa"/>
              <w:right w:w="100" w:type="dxa"/>
            </w:tcMar>
          </w:tcPr>
          <w:p>
            <w:r>
              <w:rPr>
                <w:rFonts w:ascii="Arial" w:hAnsi="Arial"/>
                <w:b/>
                <w:color w:val="2B2F38"/>
                <w:sz w:val="18"/>
              </w:rPr>
              <w:t>Your Company Detail</w:t>
            </w:r>
          </w:p>
        </w:tc>
      </w:tr>
      <w:tr>
        <w:tc>
          <w:tcPr>
            <w:tcW w:type="dxa" w:w="3202"/>
            <w:tcMar>
              <w:top w:w="100" w:type="dxa"/>
              <w:bottom w:w="100" w:type="dxa"/>
              <w:left w:w="100" w:type="dxa"/>
              <w:right w:w="100" w:type="dxa"/>
            </w:tcMar>
          </w:tcPr>
          <w:p>
            <w:r>
              <w:rPr>
                <w:rFonts w:ascii="Arial" w:hAnsi="Arial"/>
                <w:b/>
                <w:color w:val="2B2F38"/>
                <w:sz w:val="17"/>
              </w:rPr>
              <w:t>Form Menu Navigation</w:t>
            </w:r>
          </w:p>
        </w:tc>
        <w:tc>
          <w:tcPr>
            <w:tcW w:type="dxa" w:w="3202"/>
            <w:tcMar>
              <w:top w:w="100" w:type="dxa"/>
              <w:bottom w:w="100" w:type="dxa"/>
              <w:left w:w="100" w:type="dxa"/>
              <w:right w:w="100" w:type="dxa"/>
            </w:tcMar>
          </w:tcPr>
          <w:p>
            <w:r>
              <w:rPr>
                <w:rFonts w:ascii="Arial" w:hAnsi="Arial"/>
                <w:color w:val="6B7280"/>
                <w:sz w:val="16"/>
              </w:rPr>
              <w:t>Under RAV01 left menu: Click 'My Tax Products' &gt; Select 'Payroll Taxes'.</w:t>
            </w:r>
          </w:p>
        </w:tc>
        <w:tc>
          <w:tcPr>
            <w:tcW w:type="dxa" w:w="3202"/>
            <w:tcMar>
              <w:top w:w="100" w:type="dxa"/>
              <w:bottom w:w="100" w:type="dxa"/>
              <w:left w:w="100" w:type="dxa"/>
              <w:right w:w="100" w:type="dxa"/>
            </w:tcMar>
          </w:tcPr>
          <w:p>
            <w:r>
              <w:rPr>
                <w:rFonts w:ascii="Arial" w:hAnsi="Arial"/>
                <w:color w:val="2B2F38"/>
                <w:sz w:val="17"/>
              </w:rPr>
              <w:t>[  ] Navigated</w:t>
            </w:r>
          </w:p>
        </w:tc>
      </w:tr>
      <w:tr>
        <w:tc>
          <w:tcPr>
            <w:tcW w:type="dxa" w:w="3202"/>
            <w:tcMar>
              <w:top w:w="100" w:type="dxa"/>
              <w:bottom w:w="100" w:type="dxa"/>
              <w:left w:w="100" w:type="dxa"/>
              <w:right w:w="100" w:type="dxa"/>
            </w:tcMar>
          </w:tcPr>
          <w:p>
            <w:r>
              <w:rPr>
                <w:rFonts w:ascii="Arial" w:hAnsi="Arial"/>
                <w:b/>
                <w:color w:val="2B2F38"/>
                <w:sz w:val="17"/>
              </w:rPr>
              <w:t>Add New Product</w:t>
            </w:r>
          </w:p>
        </w:tc>
        <w:tc>
          <w:tcPr>
            <w:tcW w:type="dxa" w:w="3202"/>
            <w:tcMar>
              <w:top w:w="100" w:type="dxa"/>
              <w:bottom w:w="100" w:type="dxa"/>
              <w:left w:w="100" w:type="dxa"/>
              <w:right w:w="100" w:type="dxa"/>
            </w:tcMar>
          </w:tcPr>
          <w:p>
            <w:r>
              <w:rPr>
                <w:rFonts w:ascii="Arial" w:hAnsi="Arial"/>
                <w:color w:val="6B7280"/>
                <w:sz w:val="16"/>
              </w:rPr>
              <w:t>Click 'Add New Product Registration' button at top right corner.</w:t>
            </w:r>
          </w:p>
        </w:tc>
        <w:tc>
          <w:tcPr>
            <w:tcW w:type="dxa" w:w="3202"/>
            <w:tcMar>
              <w:top w:w="100" w:type="dxa"/>
              <w:bottom w:w="100" w:type="dxa"/>
              <w:left w:w="100" w:type="dxa"/>
              <w:right w:w="100" w:type="dxa"/>
            </w:tcMar>
          </w:tcPr>
          <w:p>
            <w:r>
              <w:rPr>
                <w:rFonts w:ascii="Arial" w:hAnsi="Arial"/>
                <w:color w:val="2B2F38"/>
                <w:sz w:val="17"/>
              </w:rPr>
              <w:t>[  ] Product Added</w:t>
            </w:r>
          </w:p>
        </w:tc>
      </w:tr>
      <w:tr>
        <w:tc>
          <w:tcPr>
            <w:tcW w:type="dxa" w:w="3202"/>
            <w:tcMar>
              <w:top w:w="100" w:type="dxa"/>
              <w:bottom w:w="100" w:type="dxa"/>
              <w:left w:w="100" w:type="dxa"/>
              <w:right w:w="100" w:type="dxa"/>
            </w:tcMar>
          </w:tcPr>
          <w:p>
            <w:r>
              <w:rPr>
                <w:rFonts w:ascii="Arial" w:hAnsi="Arial"/>
                <w:b/>
                <w:color w:val="2B2F38"/>
                <w:sz w:val="17"/>
              </w:rPr>
              <w:t>PAYE Liability Start Date</w:t>
            </w:r>
          </w:p>
        </w:tc>
        <w:tc>
          <w:tcPr>
            <w:tcW w:type="dxa" w:w="3202"/>
            <w:tcMar>
              <w:top w:w="100" w:type="dxa"/>
              <w:bottom w:w="100" w:type="dxa"/>
              <w:left w:w="100" w:type="dxa"/>
              <w:right w:w="100" w:type="dxa"/>
            </w:tcMar>
          </w:tcPr>
          <w:p>
            <w:r>
              <w:rPr>
                <w:rFonts w:ascii="Arial" w:hAnsi="Arial"/>
                <w:color w:val="6B7280"/>
                <w:sz w:val="16"/>
              </w:rPr>
              <w:t>Effective date from which the business starts paying taxable salaries/wages.</w:t>
            </w:r>
          </w:p>
        </w:tc>
        <w:tc>
          <w:tcPr>
            <w:tcW w:type="dxa" w:w="3202"/>
            <w:tcMar>
              <w:top w:w="100" w:type="dxa"/>
              <w:bottom w:w="100" w:type="dxa"/>
              <w:left w:w="100" w:type="dxa"/>
              <w:right w:w="100" w:type="dxa"/>
            </w:tcMar>
          </w:tcPr>
          <w:p>
            <w:r>
              <w:rPr>
                <w:rFonts w:ascii="Arial" w:hAnsi="Arial"/>
                <w:color w:val="2B2F38"/>
                <w:sz w:val="17"/>
              </w:rPr>
              <w:t>Date: DD / MM / YYYY</w:t>
            </w:r>
          </w:p>
        </w:tc>
      </w:tr>
      <w:tr>
        <w:tc>
          <w:tcPr>
            <w:tcW w:type="dxa" w:w="3202"/>
            <w:tcMar>
              <w:top w:w="100" w:type="dxa"/>
              <w:bottom w:w="100" w:type="dxa"/>
              <w:left w:w="100" w:type="dxa"/>
              <w:right w:w="100" w:type="dxa"/>
            </w:tcMar>
          </w:tcPr>
          <w:p>
            <w:r>
              <w:rPr>
                <w:rFonts w:ascii="Arial" w:hAnsi="Arial"/>
                <w:b/>
                <w:color w:val="2B2F38"/>
                <w:sz w:val="17"/>
              </w:rPr>
              <w:t>Main Business Activity (SIC)</w:t>
            </w:r>
          </w:p>
        </w:tc>
        <w:tc>
          <w:tcPr>
            <w:tcW w:type="dxa" w:w="3202"/>
            <w:tcMar>
              <w:top w:w="100" w:type="dxa"/>
              <w:bottom w:w="100" w:type="dxa"/>
              <w:left w:w="100" w:type="dxa"/>
              <w:right w:w="100" w:type="dxa"/>
            </w:tcMar>
          </w:tcPr>
          <w:p>
            <w:r>
              <w:rPr>
                <w:rFonts w:ascii="Arial" w:hAnsi="Arial"/>
                <w:color w:val="6B7280"/>
                <w:sz w:val="16"/>
              </w:rPr>
              <w:t>Standard Industrial Classification (SIC) code reflecting core economic activity.</w:t>
            </w:r>
          </w:p>
        </w:tc>
        <w:tc>
          <w:tcPr>
            <w:tcW w:type="dxa" w:w="3202"/>
            <w:tcMar>
              <w:top w:w="100" w:type="dxa"/>
              <w:bottom w:w="100" w:type="dxa"/>
              <w:left w:w="100" w:type="dxa"/>
              <w:right w:w="100" w:type="dxa"/>
            </w:tcMar>
          </w:tcPr>
          <w:p>
            <w:r>
              <w:rPr>
                <w:rFonts w:ascii="Arial" w:hAnsi="Arial"/>
                <w:color w:val="2B2F38"/>
                <w:sz w:val="17"/>
              </w:rPr>
              <w:t>SIC Code: ____________</w:t>
            </w:r>
          </w:p>
        </w:tc>
      </w:tr>
      <w:tr>
        <w:tc>
          <w:tcPr>
            <w:tcW w:type="dxa" w:w="3202"/>
            <w:tcMar>
              <w:top w:w="100" w:type="dxa"/>
              <w:bottom w:w="100" w:type="dxa"/>
              <w:left w:w="100" w:type="dxa"/>
              <w:right w:w="100" w:type="dxa"/>
            </w:tcMar>
          </w:tcPr>
          <w:p>
            <w:r>
              <w:rPr>
                <w:rFonts w:ascii="Arial" w:hAnsi="Arial"/>
                <w:b/>
                <w:color w:val="2B2F38"/>
                <w:sz w:val="17"/>
              </w:rPr>
              <w:t>SETA Sector Code (SDL)</w:t>
            </w:r>
          </w:p>
        </w:tc>
        <w:tc>
          <w:tcPr>
            <w:tcW w:type="dxa" w:w="3202"/>
            <w:tcMar>
              <w:top w:w="100" w:type="dxa"/>
              <w:bottom w:w="100" w:type="dxa"/>
              <w:left w:w="100" w:type="dxa"/>
              <w:right w:w="100" w:type="dxa"/>
            </w:tcMar>
          </w:tcPr>
          <w:p>
            <w:r>
              <w:rPr>
                <w:rFonts w:ascii="Arial" w:hAnsi="Arial"/>
                <w:color w:val="6B7280"/>
                <w:sz w:val="16"/>
              </w:rPr>
              <w:t>Applicable SETA overseeing your industry (e.g., FASSET, Services SETA, MICT).</w:t>
            </w:r>
          </w:p>
        </w:tc>
        <w:tc>
          <w:tcPr>
            <w:tcW w:type="dxa" w:w="3202"/>
            <w:tcMar>
              <w:top w:w="100" w:type="dxa"/>
              <w:bottom w:w="100" w:type="dxa"/>
              <w:left w:w="100" w:type="dxa"/>
              <w:right w:w="100" w:type="dxa"/>
            </w:tcMar>
          </w:tcPr>
          <w:p>
            <w:r>
              <w:rPr>
                <w:rFonts w:ascii="Arial" w:hAnsi="Arial"/>
                <w:color w:val="2B2F38"/>
                <w:sz w:val="17"/>
              </w:rPr>
              <w:t>SETA Code: ___________</w:t>
            </w:r>
          </w:p>
        </w:tc>
      </w:tr>
    </w:tbl>
    <w:p>
      <w:pPr>
        <w:spacing w:before="80" w:after="40"/>
      </w:pPr>
    </w:p>
    <w:p>
      <w:pPr>
        <w:keepNext/>
        <w:spacing w:before="280" w:after="80"/>
      </w:pPr>
      <w:r>
        <w:rPr>
          <w:rFonts w:ascii="Arial" w:hAnsi="Arial"/>
          <w:b/>
          <w:color w:val="2B2F38"/>
          <w:sz w:val="23"/>
        </w:rPr>
        <w:t>4. Tracking Application Status &amp; Retrieving PAYE Number</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 REGULATORY NOTICE: </w:t>
            </w:r>
            <w:r>
              <w:rPr>
                <w:rFonts w:ascii="Arial" w:hAnsi="Arial"/>
                <w:i/>
                <w:color w:val="2B2F38"/>
                <w:sz w:val="18"/>
              </w:rPr>
              <w:t>Submitting the RAV01 form initiates automated processing. SARS generates a registration work page where your newly issued 10-digit PAYE reference number (starting with a '7') is published.</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864"/>
        <w:gridCol w:w="3168"/>
        <w:gridCol w:w="5573"/>
      </w:tblGrid>
      <w:tr>
        <w:tc>
          <w:tcPr>
            <w:tcW w:type="dxa" w:w="3202"/>
            <w:shd w:fill="E5E7EB"/>
            <w:tcMar>
              <w:top w:w="100" w:type="dxa"/>
              <w:bottom w:w="100" w:type="dxa"/>
              <w:left w:w="100" w:type="dxa"/>
              <w:right w:w="100" w:type="dxa"/>
            </w:tcMar>
          </w:tcPr>
          <w:p>
            <w:pPr>
              <w:jc w:val="center"/>
            </w:pPr>
            <w:r>
              <w:rPr>
                <w:rFonts w:ascii="Arial" w:hAnsi="Arial"/>
                <w:b/>
                <w:color w:val="2B2F38"/>
                <w:sz w:val="18"/>
              </w:rPr>
              <w:t>Step</w:t>
            </w:r>
          </w:p>
        </w:tc>
        <w:tc>
          <w:tcPr>
            <w:tcW w:type="dxa" w:w="3202"/>
            <w:shd w:fill="E5E7EB"/>
            <w:tcMar>
              <w:top w:w="100" w:type="dxa"/>
              <w:bottom w:w="100" w:type="dxa"/>
              <w:left w:w="100" w:type="dxa"/>
              <w:right w:w="100" w:type="dxa"/>
            </w:tcMar>
          </w:tcPr>
          <w:p>
            <w:pPr>
              <w:jc w:val="left"/>
            </w:pPr>
            <w:r>
              <w:rPr>
                <w:rFonts w:ascii="Arial" w:hAnsi="Arial"/>
                <w:b/>
                <w:color w:val="2B2F38"/>
                <w:sz w:val="18"/>
              </w:rPr>
              <w:t>Tracking Menu Path</w:t>
            </w:r>
          </w:p>
        </w:tc>
        <w:tc>
          <w:tcPr>
            <w:tcW w:type="dxa" w:w="3202"/>
            <w:shd w:fill="E5E7EB"/>
            <w:tcMar>
              <w:top w:w="100" w:type="dxa"/>
              <w:bottom w:w="100" w:type="dxa"/>
              <w:left w:w="100" w:type="dxa"/>
              <w:right w:w="100" w:type="dxa"/>
            </w:tcMar>
          </w:tcPr>
          <w:p>
            <w:pPr>
              <w:jc w:val="left"/>
            </w:pPr>
            <w:r>
              <w:rPr>
                <w:rFonts w:ascii="Arial" w:hAnsi="Arial"/>
                <w:b/>
                <w:color w:val="2B2F38"/>
                <w:sz w:val="18"/>
              </w:rPr>
              <w:t>Operational Verification Action</w:t>
            </w:r>
          </w:p>
        </w:tc>
      </w:tr>
      <w:tr>
        <w:tc>
          <w:tcPr>
            <w:tcW w:type="dxa" w:w="3202"/>
            <w:tcMar>
              <w:top w:w="100" w:type="dxa"/>
              <w:bottom w:w="100" w:type="dxa"/>
              <w:left w:w="100" w:type="dxa"/>
              <w:right w:w="100" w:type="dxa"/>
            </w:tcMar>
          </w:tcPr>
          <w:p>
            <w:pPr>
              <w:jc w:val="center"/>
            </w:pPr>
            <w:r>
              <w:rPr>
                <w:rFonts w:ascii="Arial" w:hAnsi="Arial"/>
                <w:b/>
                <w:color w:val="D4A243"/>
                <w:sz w:val="18"/>
              </w:rPr>
              <w:t>01</w:t>
            </w:r>
          </w:p>
        </w:tc>
        <w:tc>
          <w:tcPr>
            <w:tcW w:type="dxa" w:w="3202"/>
            <w:tcMar>
              <w:top w:w="100" w:type="dxa"/>
              <w:bottom w:w="100" w:type="dxa"/>
              <w:left w:w="100" w:type="dxa"/>
              <w:right w:w="100" w:type="dxa"/>
            </w:tcMar>
          </w:tcPr>
          <w:p>
            <w:r>
              <w:rPr>
                <w:rFonts w:ascii="Arial" w:hAnsi="Arial"/>
                <w:b/>
                <w:color w:val="2B2F38"/>
                <w:sz w:val="17"/>
              </w:rPr>
              <w:t>Return to Menu</w:t>
            </w:r>
          </w:p>
        </w:tc>
        <w:tc>
          <w:tcPr>
            <w:tcW w:type="dxa" w:w="3202"/>
            <w:tcMar>
              <w:top w:w="100" w:type="dxa"/>
              <w:bottom w:w="100" w:type="dxa"/>
              <w:left w:w="100" w:type="dxa"/>
              <w:right w:w="100" w:type="dxa"/>
            </w:tcMar>
          </w:tcPr>
          <w:p>
            <w:r>
              <w:rPr>
                <w:rFonts w:ascii="Arial" w:hAnsi="Arial"/>
                <w:color w:val="6B7280"/>
                <w:sz w:val="16"/>
              </w:rPr>
              <w:t>Navigate back to 'SARS Registered Details' on the left sidebar.</w:t>
            </w:r>
          </w:p>
        </w:tc>
      </w:tr>
      <w:tr>
        <w:tc>
          <w:tcPr>
            <w:tcW w:type="dxa" w:w="3202"/>
            <w:tcMar>
              <w:top w:w="100" w:type="dxa"/>
              <w:bottom w:w="100" w:type="dxa"/>
              <w:left w:w="100" w:type="dxa"/>
              <w:right w:w="100" w:type="dxa"/>
            </w:tcMar>
          </w:tcPr>
          <w:p>
            <w:pPr>
              <w:jc w:val="center"/>
            </w:pPr>
            <w:r>
              <w:rPr>
                <w:rFonts w:ascii="Arial" w:hAnsi="Arial"/>
                <w:b/>
                <w:color w:val="D4A243"/>
                <w:sz w:val="18"/>
              </w:rPr>
              <w:t>02</w:t>
            </w:r>
          </w:p>
        </w:tc>
        <w:tc>
          <w:tcPr>
            <w:tcW w:type="dxa" w:w="3202"/>
            <w:tcMar>
              <w:top w:w="100" w:type="dxa"/>
              <w:bottom w:w="100" w:type="dxa"/>
              <w:left w:w="100" w:type="dxa"/>
              <w:right w:w="100" w:type="dxa"/>
            </w:tcMar>
          </w:tcPr>
          <w:p>
            <w:r>
              <w:rPr>
                <w:rFonts w:ascii="Arial" w:hAnsi="Arial"/>
                <w:b/>
                <w:color w:val="2B2F38"/>
                <w:sz w:val="17"/>
              </w:rPr>
              <w:t>Open Registration History</w:t>
            </w:r>
          </w:p>
        </w:tc>
        <w:tc>
          <w:tcPr>
            <w:tcW w:type="dxa" w:w="3202"/>
            <w:tcMar>
              <w:top w:w="100" w:type="dxa"/>
              <w:bottom w:w="100" w:type="dxa"/>
              <w:left w:w="100" w:type="dxa"/>
              <w:right w:w="100" w:type="dxa"/>
            </w:tcMar>
          </w:tcPr>
          <w:p>
            <w:r>
              <w:rPr>
                <w:rFonts w:ascii="Arial" w:hAnsi="Arial"/>
                <w:color w:val="6B7280"/>
                <w:sz w:val="16"/>
              </w:rPr>
              <w:t>Click 'Maintain Registered Details History' to view pending/lodged applications.</w:t>
            </w:r>
          </w:p>
        </w:tc>
      </w:tr>
      <w:tr>
        <w:tc>
          <w:tcPr>
            <w:tcW w:type="dxa" w:w="3202"/>
            <w:tcMar>
              <w:top w:w="100" w:type="dxa"/>
              <w:bottom w:w="100" w:type="dxa"/>
              <w:left w:w="100" w:type="dxa"/>
              <w:right w:w="100" w:type="dxa"/>
            </w:tcMar>
          </w:tcPr>
          <w:p>
            <w:pPr>
              <w:jc w:val="center"/>
            </w:pPr>
            <w:r>
              <w:rPr>
                <w:rFonts w:ascii="Arial" w:hAnsi="Arial"/>
                <w:b/>
                <w:color w:val="D4A243"/>
                <w:sz w:val="18"/>
              </w:rPr>
              <w:t>03</w:t>
            </w:r>
          </w:p>
        </w:tc>
        <w:tc>
          <w:tcPr>
            <w:tcW w:type="dxa" w:w="3202"/>
            <w:tcMar>
              <w:top w:w="100" w:type="dxa"/>
              <w:bottom w:w="100" w:type="dxa"/>
              <w:left w:w="100" w:type="dxa"/>
              <w:right w:w="100" w:type="dxa"/>
            </w:tcMar>
          </w:tcPr>
          <w:p>
            <w:r>
              <w:rPr>
                <w:rFonts w:ascii="Arial" w:hAnsi="Arial"/>
                <w:b/>
                <w:color w:val="2B2F38"/>
                <w:sz w:val="17"/>
              </w:rPr>
              <w:t>Inspect Application Work Page</w:t>
            </w:r>
          </w:p>
        </w:tc>
        <w:tc>
          <w:tcPr>
            <w:tcW w:type="dxa" w:w="3202"/>
            <w:tcMar>
              <w:top w:w="100" w:type="dxa"/>
              <w:bottom w:w="100" w:type="dxa"/>
              <w:left w:w="100" w:type="dxa"/>
              <w:right w:w="100" w:type="dxa"/>
            </w:tcMar>
          </w:tcPr>
          <w:p>
            <w:r>
              <w:rPr>
                <w:rFonts w:ascii="Arial" w:hAnsi="Arial"/>
                <w:color w:val="6B7280"/>
                <w:sz w:val="16"/>
              </w:rPr>
              <w:t>Locate the recent Payroll submission and click 'Open' on the right side.</w:t>
            </w:r>
          </w:p>
        </w:tc>
      </w:tr>
      <w:tr>
        <w:tc>
          <w:tcPr>
            <w:tcW w:type="dxa" w:w="3202"/>
            <w:tcMar>
              <w:top w:w="100" w:type="dxa"/>
              <w:bottom w:w="100" w:type="dxa"/>
              <w:left w:w="100" w:type="dxa"/>
              <w:right w:w="100" w:type="dxa"/>
            </w:tcMar>
          </w:tcPr>
          <w:p>
            <w:pPr>
              <w:jc w:val="center"/>
            </w:pPr>
            <w:r>
              <w:rPr>
                <w:rFonts w:ascii="Arial" w:hAnsi="Arial"/>
                <w:b/>
                <w:color w:val="D4A243"/>
                <w:sz w:val="18"/>
              </w:rPr>
              <w:t>04</w:t>
            </w:r>
          </w:p>
        </w:tc>
        <w:tc>
          <w:tcPr>
            <w:tcW w:type="dxa" w:w="3202"/>
            <w:tcMar>
              <w:top w:w="100" w:type="dxa"/>
              <w:bottom w:w="100" w:type="dxa"/>
              <w:left w:w="100" w:type="dxa"/>
              <w:right w:w="100" w:type="dxa"/>
            </w:tcMar>
          </w:tcPr>
          <w:p>
            <w:r>
              <w:rPr>
                <w:rFonts w:ascii="Arial" w:hAnsi="Arial"/>
                <w:b/>
                <w:color w:val="2B2F38"/>
                <w:sz w:val="17"/>
              </w:rPr>
              <w:t>Confirm Processed Status</w:t>
            </w:r>
          </w:p>
        </w:tc>
        <w:tc>
          <w:tcPr>
            <w:tcW w:type="dxa" w:w="3202"/>
            <w:tcMar>
              <w:top w:w="100" w:type="dxa"/>
              <w:bottom w:w="100" w:type="dxa"/>
              <w:left w:w="100" w:type="dxa"/>
              <w:right w:w="100" w:type="dxa"/>
            </w:tcMar>
          </w:tcPr>
          <w:p>
            <w:r>
              <w:rPr>
                <w:rFonts w:ascii="Arial" w:hAnsi="Arial"/>
                <w:color w:val="2B2F38"/>
                <w:sz w:val="16"/>
              </w:rPr>
              <w:t>Verify status shows 'Processed'. Record your official 10-digit PAYE reference number:</w:t>
              <w:br/>
              <w:t>• PAYE Number: 7____________________</w:t>
            </w:r>
          </w:p>
        </w:tc>
      </w:tr>
    </w:tbl>
    <w:p>
      <w:pPr>
        <w:spacing w:before="80" w:after="40"/>
      </w:pPr>
    </w:p>
    <w:p>
      <w:pPr>
        <w:keepNext/>
        <w:spacing w:before="280" w:after="80"/>
      </w:pPr>
      <w:r>
        <w:rPr>
          <w:rFonts w:ascii="Arial" w:hAnsi="Arial"/>
          <w:b/>
          <w:color w:val="2B2F38"/>
          <w:sz w:val="23"/>
        </w:rPr>
        <w:t>5. Critical Final Step: Linking PAYE &amp; Activating EMP201 Returns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 REGULATORY NOTICE: </w:t>
            </w:r>
            <w:r>
              <w:rPr>
                <w:rFonts w:ascii="Arial" w:hAnsi="Arial"/>
                <w:i/>
                <w:color w:val="2B2F38"/>
                <w:sz w:val="18"/>
              </w:rPr>
              <w:t>CRITICAL PITFALL: Obtaining a PAYE number does NOT automatically enable you to file monthly returns. You must manually activate and link the PAYE tax product under Manage Tax Types, or your monthly EMP201 returns will not appear.</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864"/>
        <w:gridCol w:w="3168"/>
        <w:gridCol w:w="5573"/>
      </w:tblGrid>
      <w:tr>
        <w:tc>
          <w:tcPr>
            <w:tcW w:type="dxa" w:w="3202"/>
            <w:shd w:fill="E5E7EB"/>
            <w:tcMar>
              <w:top w:w="100" w:type="dxa"/>
              <w:bottom w:w="100" w:type="dxa"/>
              <w:left w:w="100" w:type="dxa"/>
              <w:right w:w="100" w:type="dxa"/>
            </w:tcMar>
          </w:tcPr>
          <w:p>
            <w:pPr>
              <w:jc w:val="center"/>
            </w:pPr>
            <w:r>
              <w:rPr>
                <w:rFonts w:ascii="Arial" w:hAnsi="Arial"/>
                <w:b/>
                <w:color w:val="2B2F38"/>
                <w:sz w:val="18"/>
              </w:rPr>
              <w:t>Step</w:t>
            </w:r>
          </w:p>
        </w:tc>
        <w:tc>
          <w:tcPr>
            <w:tcW w:type="dxa" w:w="3202"/>
            <w:shd w:fill="E5E7EB"/>
            <w:tcMar>
              <w:top w:w="100" w:type="dxa"/>
              <w:bottom w:w="100" w:type="dxa"/>
              <w:left w:w="100" w:type="dxa"/>
              <w:right w:w="100" w:type="dxa"/>
            </w:tcMar>
          </w:tcPr>
          <w:p>
            <w:pPr>
              <w:jc w:val="left"/>
            </w:pPr>
            <w:r>
              <w:rPr>
                <w:rFonts w:ascii="Arial" w:hAnsi="Arial"/>
                <w:b/>
                <w:color w:val="2B2F38"/>
                <w:sz w:val="18"/>
              </w:rPr>
              <w:t>Activation Stage</w:t>
            </w:r>
          </w:p>
        </w:tc>
        <w:tc>
          <w:tcPr>
            <w:tcW w:type="dxa" w:w="3202"/>
            <w:shd w:fill="E5E7EB"/>
            <w:tcMar>
              <w:top w:w="100" w:type="dxa"/>
              <w:bottom w:w="100" w:type="dxa"/>
              <w:left w:w="100" w:type="dxa"/>
              <w:right w:w="100" w:type="dxa"/>
            </w:tcMar>
          </w:tcPr>
          <w:p>
            <w:pPr>
              <w:jc w:val="left"/>
            </w:pPr>
            <w:r>
              <w:rPr>
                <w:rFonts w:ascii="Arial" w:hAnsi="Arial"/>
                <w:b/>
                <w:color w:val="2B2F38"/>
                <w:sz w:val="18"/>
              </w:rPr>
              <w:t>Execution Instruction &amp; System Check</w:t>
            </w:r>
          </w:p>
        </w:tc>
      </w:tr>
      <w:tr>
        <w:tc>
          <w:tcPr>
            <w:tcW w:type="dxa" w:w="3202"/>
            <w:tcMar>
              <w:top w:w="100" w:type="dxa"/>
              <w:bottom w:w="100" w:type="dxa"/>
              <w:left w:w="100" w:type="dxa"/>
              <w:right w:w="100" w:type="dxa"/>
            </w:tcMar>
          </w:tcPr>
          <w:p>
            <w:pPr>
              <w:jc w:val="center"/>
            </w:pPr>
            <w:r>
              <w:rPr>
                <w:rFonts w:ascii="Arial" w:hAnsi="Arial"/>
                <w:b/>
                <w:color w:val="D4A243"/>
                <w:sz w:val="18"/>
              </w:rPr>
              <w:t>01</w:t>
            </w:r>
          </w:p>
        </w:tc>
        <w:tc>
          <w:tcPr>
            <w:tcW w:type="dxa" w:w="3202"/>
            <w:tcMar>
              <w:top w:w="100" w:type="dxa"/>
              <w:bottom w:w="100" w:type="dxa"/>
              <w:left w:w="100" w:type="dxa"/>
              <w:right w:w="100" w:type="dxa"/>
            </w:tcMar>
          </w:tcPr>
          <w:p>
            <w:r>
              <w:rPr>
                <w:rFonts w:ascii="Arial" w:hAnsi="Arial"/>
                <w:b/>
                <w:color w:val="2B2F38"/>
                <w:sz w:val="17"/>
              </w:rPr>
              <w:t>Open Tax Types</w:t>
            </w:r>
          </w:p>
        </w:tc>
        <w:tc>
          <w:tcPr>
            <w:tcW w:type="dxa" w:w="3202"/>
            <w:tcMar>
              <w:top w:w="100" w:type="dxa"/>
              <w:bottom w:w="100" w:type="dxa"/>
              <w:left w:w="100" w:type="dxa"/>
              <w:right w:w="100" w:type="dxa"/>
            </w:tcMar>
          </w:tcPr>
          <w:p>
            <w:r>
              <w:rPr>
                <w:rFonts w:ascii="Arial" w:hAnsi="Arial"/>
                <w:color w:val="6B7280"/>
                <w:sz w:val="16"/>
              </w:rPr>
              <w:t>Click 'Organization' on the top menu, navigate to 'Tax Types', then click 'Manage Tax Types'.</w:t>
            </w:r>
          </w:p>
        </w:tc>
      </w:tr>
      <w:tr>
        <w:tc>
          <w:tcPr>
            <w:tcW w:type="dxa" w:w="3202"/>
            <w:tcMar>
              <w:top w:w="100" w:type="dxa"/>
              <w:bottom w:w="100" w:type="dxa"/>
              <w:left w:w="100" w:type="dxa"/>
              <w:right w:w="100" w:type="dxa"/>
            </w:tcMar>
          </w:tcPr>
          <w:p>
            <w:pPr>
              <w:jc w:val="center"/>
            </w:pPr>
            <w:r>
              <w:rPr>
                <w:rFonts w:ascii="Arial" w:hAnsi="Arial"/>
                <w:b/>
                <w:color w:val="D4A243"/>
                <w:sz w:val="18"/>
              </w:rPr>
              <w:t>02</w:t>
            </w:r>
          </w:p>
        </w:tc>
        <w:tc>
          <w:tcPr>
            <w:tcW w:type="dxa" w:w="3202"/>
            <w:tcMar>
              <w:top w:w="100" w:type="dxa"/>
              <w:bottom w:w="100" w:type="dxa"/>
              <w:left w:w="100" w:type="dxa"/>
              <w:right w:w="100" w:type="dxa"/>
            </w:tcMar>
          </w:tcPr>
          <w:p>
            <w:r>
              <w:rPr>
                <w:rFonts w:ascii="Arial" w:hAnsi="Arial"/>
                <w:b/>
                <w:color w:val="2B2F38"/>
                <w:sz w:val="17"/>
              </w:rPr>
              <w:t>Tick New PAYE Product</w:t>
            </w:r>
          </w:p>
        </w:tc>
        <w:tc>
          <w:tcPr>
            <w:tcW w:type="dxa" w:w="3202"/>
            <w:tcMar>
              <w:top w:w="100" w:type="dxa"/>
              <w:bottom w:w="100" w:type="dxa"/>
              <w:left w:w="100" w:type="dxa"/>
              <w:right w:w="100" w:type="dxa"/>
            </w:tcMar>
          </w:tcPr>
          <w:p>
            <w:r>
              <w:rPr>
                <w:rFonts w:ascii="Arial" w:hAnsi="Arial"/>
                <w:color w:val="6B7280"/>
                <w:sz w:val="16"/>
              </w:rPr>
              <w:t>Locate the newly issued PAYE tax type and tick the active selection checkbox.</w:t>
            </w:r>
          </w:p>
        </w:tc>
      </w:tr>
      <w:tr>
        <w:tc>
          <w:tcPr>
            <w:tcW w:type="dxa" w:w="3202"/>
            <w:tcMar>
              <w:top w:w="100" w:type="dxa"/>
              <w:bottom w:w="100" w:type="dxa"/>
              <w:left w:w="100" w:type="dxa"/>
              <w:right w:w="100" w:type="dxa"/>
            </w:tcMar>
          </w:tcPr>
          <w:p>
            <w:pPr>
              <w:jc w:val="center"/>
            </w:pPr>
            <w:r>
              <w:rPr>
                <w:rFonts w:ascii="Arial" w:hAnsi="Arial"/>
                <w:b/>
                <w:color w:val="D4A243"/>
                <w:sz w:val="18"/>
              </w:rPr>
              <w:t>03</w:t>
            </w:r>
          </w:p>
        </w:tc>
        <w:tc>
          <w:tcPr>
            <w:tcW w:type="dxa" w:w="3202"/>
            <w:tcMar>
              <w:top w:w="100" w:type="dxa"/>
              <w:bottom w:w="100" w:type="dxa"/>
              <w:left w:w="100" w:type="dxa"/>
              <w:right w:w="100" w:type="dxa"/>
            </w:tcMar>
          </w:tcPr>
          <w:p>
            <w:r>
              <w:rPr>
                <w:rFonts w:ascii="Arial" w:hAnsi="Arial"/>
                <w:b/>
                <w:color w:val="2B2F38"/>
                <w:sz w:val="17"/>
              </w:rPr>
              <w:t>Submit &amp; Enter OTP</w:t>
            </w:r>
          </w:p>
        </w:tc>
        <w:tc>
          <w:tcPr>
            <w:tcW w:type="dxa" w:w="3202"/>
            <w:tcMar>
              <w:top w:w="100" w:type="dxa"/>
              <w:bottom w:w="100" w:type="dxa"/>
              <w:left w:w="100" w:type="dxa"/>
              <w:right w:w="100" w:type="dxa"/>
            </w:tcMar>
          </w:tcPr>
          <w:p>
            <w:r>
              <w:rPr>
                <w:rFonts w:ascii="Arial" w:hAnsi="Arial"/>
                <w:color w:val="6B7280"/>
                <w:sz w:val="16"/>
              </w:rPr>
              <w:t>Submit linking request and enter the SMS/email OTP to confirm authorization.</w:t>
            </w:r>
          </w:p>
        </w:tc>
      </w:tr>
      <w:tr>
        <w:tc>
          <w:tcPr>
            <w:tcW w:type="dxa" w:w="3202"/>
            <w:tcMar>
              <w:top w:w="100" w:type="dxa"/>
              <w:bottom w:w="100" w:type="dxa"/>
              <w:left w:w="100" w:type="dxa"/>
              <w:right w:w="100" w:type="dxa"/>
            </w:tcMar>
          </w:tcPr>
          <w:p>
            <w:pPr>
              <w:jc w:val="center"/>
            </w:pPr>
            <w:r>
              <w:rPr>
                <w:rFonts w:ascii="Arial" w:hAnsi="Arial"/>
                <w:b/>
                <w:color w:val="D4A243"/>
                <w:sz w:val="18"/>
              </w:rPr>
              <w:t>04</w:t>
            </w:r>
          </w:p>
        </w:tc>
        <w:tc>
          <w:tcPr>
            <w:tcW w:type="dxa" w:w="3202"/>
            <w:tcMar>
              <w:top w:w="100" w:type="dxa"/>
              <w:bottom w:w="100" w:type="dxa"/>
              <w:left w:w="100" w:type="dxa"/>
              <w:right w:w="100" w:type="dxa"/>
            </w:tcMar>
          </w:tcPr>
          <w:p>
            <w:r>
              <w:rPr>
                <w:rFonts w:ascii="Arial" w:hAnsi="Arial"/>
                <w:b/>
                <w:color w:val="2B2F38"/>
                <w:sz w:val="17"/>
              </w:rPr>
              <w:t>Verify EMP201 Return Access</w:t>
            </w:r>
          </w:p>
        </w:tc>
        <w:tc>
          <w:tcPr>
            <w:tcW w:type="dxa" w:w="3202"/>
            <w:tcMar>
              <w:top w:w="100" w:type="dxa"/>
              <w:bottom w:w="100" w:type="dxa"/>
              <w:left w:w="100" w:type="dxa"/>
              <w:right w:w="100" w:type="dxa"/>
            </w:tcMar>
          </w:tcPr>
          <w:p>
            <w:r>
              <w:rPr>
                <w:rFonts w:ascii="Arial" w:hAnsi="Arial"/>
                <w:color w:val="6B7280"/>
                <w:sz w:val="16"/>
              </w:rPr>
              <w:t>Go to 'Returns' &gt; 'Returns Issued'. Confirm that monthly Employees' Tax (EMP201) returns and bi-annual EMP501 reconciliations display actively.</w:t>
            </w:r>
          </w:p>
        </w:tc>
      </w:tr>
    </w:tbl>
    <w:p>
      <w:pPr>
        <w:spacing w:before="80" w:after="40"/>
      </w:pPr>
    </w:p>
    <w:p>
      <w:pPr>
        <w:keepNext/>
        <w:spacing w:before="280" w:after="80"/>
      </w:pPr>
      <w:r>
        <w:rPr>
          <w:rFonts w:ascii="Arial" w:hAnsi="Arial"/>
          <w:b/>
          <w:color w:val="2B2F38"/>
          <w:sz w:val="23"/>
        </w:rPr>
        <w:t>6. Payroll Tax Setup Action &amp; Governance Plan</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 REGULATORY NOTICE: </w:t>
            </w:r>
            <w:r>
              <w:rPr>
                <w:rFonts w:ascii="Arial" w:hAnsi="Arial"/>
                <w:i/>
                <w:color w:val="2B2F38"/>
                <w:sz w:val="18"/>
              </w:rPr>
              <w:t>Document the official payroll tax milestones, assigned responsibilities, and monthly compliance deadlines for your business.</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312"/>
        <w:gridCol w:w="4565"/>
        <w:gridCol w:w="1728"/>
      </w:tblGrid>
      <w:tr>
        <w:tc>
          <w:tcPr>
            <w:tcW w:type="dxa" w:w="3202"/>
            <w:shd w:fill="E5E7EB"/>
            <w:tcMar>
              <w:top w:w="100" w:type="dxa"/>
              <w:bottom w:w="100" w:type="dxa"/>
              <w:left w:w="100" w:type="dxa"/>
              <w:right w:w="100" w:type="dxa"/>
            </w:tcMar>
          </w:tcPr>
          <w:p>
            <w:pPr>
              <w:jc w:val="left"/>
            </w:pPr>
            <w:r>
              <w:rPr>
                <w:rFonts w:ascii="Arial" w:hAnsi="Arial"/>
                <w:b/>
                <w:color w:val="2B2F38"/>
                <w:sz w:val="18"/>
              </w:rPr>
              <w:t>Governance Milestone</w:t>
            </w:r>
          </w:p>
        </w:tc>
        <w:tc>
          <w:tcPr>
            <w:tcW w:type="dxa" w:w="3202"/>
            <w:shd w:fill="E5E7EB"/>
            <w:tcMar>
              <w:top w:w="100" w:type="dxa"/>
              <w:bottom w:w="100" w:type="dxa"/>
              <w:left w:w="100" w:type="dxa"/>
              <w:right w:w="100" w:type="dxa"/>
            </w:tcMar>
          </w:tcPr>
          <w:p>
            <w:pPr>
              <w:jc w:val="left"/>
            </w:pPr>
            <w:r>
              <w:rPr>
                <w:rFonts w:ascii="Arial" w:hAnsi="Arial"/>
                <w:b/>
                <w:color w:val="2B2F38"/>
                <w:sz w:val="18"/>
              </w:rPr>
              <w:t>Compliance Parameter &amp; Parameter Details</w:t>
            </w:r>
          </w:p>
        </w:tc>
        <w:tc>
          <w:tcPr>
            <w:tcW w:type="dxa" w:w="3202"/>
            <w:shd w:fill="E5E7EB"/>
            <w:tcMar>
              <w:top w:w="100" w:type="dxa"/>
              <w:bottom w:w="100" w:type="dxa"/>
              <w:left w:w="100" w:type="dxa"/>
              <w:right w:w="100" w:type="dxa"/>
            </w:tcMar>
          </w:tcPr>
          <w:p>
            <w:pPr>
              <w:jc w:val="center"/>
            </w:pPr>
            <w:r>
              <w:rPr>
                <w:rFonts w:ascii="Arial" w:hAnsi="Arial"/>
                <w:b/>
                <w:color w:val="2B2F38"/>
                <w:sz w:val="18"/>
              </w:rPr>
              <w:t>Status</w:t>
            </w:r>
          </w:p>
        </w:tc>
      </w:tr>
      <w:tr>
        <w:tc>
          <w:tcPr>
            <w:tcW w:type="dxa" w:w="3202"/>
            <w:tcMar>
              <w:top w:w="100" w:type="dxa"/>
              <w:bottom w:w="100" w:type="dxa"/>
              <w:left w:w="100" w:type="dxa"/>
              <w:right w:w="100" w:type="dxa"/>
            </w:tcMar>
          </w:tcPr>
          <w:p>
            <w:r>
              <w:rPr>
                <w:rFonts w:ascii="Arial" w:hAnsi="Arial"/>
                <w:b/>
                <w:color w:val="2B2F38"/>
                <w:sz w:val="17"/>
              </w:rPr>
              <w:t>Registered Entity Name</w:t>
            </w:r>
          </w:p>
        </w:tc>
        <w:tc>
          <w:tcPr>
            <w:tcW w:type="dxa" w:w="3202"/>
            <w:tcMar>
              <w:top w:w="100" w:type="dxa"/>
              <w:bottom w:w="100" w:type="dxa"/>
              <w:left w:w="100" w:type="dxa"/>
              <w:right w:w="100" w:type="dxa"/>
            </w:tcMar>
          </w:tcPr>
          <w:p>
            <w:r>
              <w:rPr>
                <w:rFonts w:ascii="Arial" w:hAnsi="Arial"/>
                <w:color w:val="2B2F38"/>
                <w:sz w:val="16"/>
              </w:rPr>
              <w:t>Company: _____________________________________</w:t>
            </w:r>
          </w:p>
        </w:tc>
        <w:tc>
          <w:tcPr>
            <w:tcW w:type="dxa" w:w="3202"/>
            <w:tcMar>
              <w:top w:w="100" w:type="dxa"/>
              <w:bottom w:w="100" w:type="dxa"/>
              <w:left w:w="100" w:type="dxa"/>
              <w:right w:w="100" w:type="dxa"/>
            </w:tcMar>
          </w:tcPr>
          <w:p>
            <w:pPr>
              <w:jc w:val="center"/>
            </w:pPr>
            <w:r>
              <w:rPr>
                <w:rFonts w:ascii="Arial" w:hAnsi="Arial"/>
                <w:color w:val="2B2F38"/>
                <w:sz w:val="17"/>
              </w:rPr>
              <w:t>[  ] Recorded</w:t>
            </w:r>
          </w:p>
        </w:tc>
      </w:tr>
      <w:tr>
        <w:tc>
          <w:tcPr>
            <w:tcW w:type="dxa" w:w="3202"/>
            <w:tcMar>
              <w:top w:w="100" w:type="dxa"/>
              <w:bottom w:w="100" w:type="dxa"/>
              <w:left w:w="100" w:type="dxa"/>
              <w:right w:w="100" w:type="dxa"/>
            </w:tcMar>
          </w:tcPr>
          <w:p>
            <w:r>
              <w:rPr>
                <w:rFonts w:ascii="Arial" w:hAnsi="Arial"/>
                <w:b/>
                <w:color w:val="2B2F38"/>
                <w:sz w:val="17"/>
              </w:rPr>
              <w:t>RAV01 Form Submission</w:t>
            </w:r>
          </w:p>
        </w:tc>
        <w:tc>
          <w:tcPr>
            <w:tcW w:type="dxa" w:w="3202"/>
            <w:tcMar>
              <w:top w:w="100" w:type="dxa"/>
              <w:bottom w:w="100" w:type="dxa"/>
              <w:left w:w="100" w:type="dxa"/>
              <w:right w:w="100" w:type="dxa"/>
            </w:tcMar>
          </w:tcPr>
          <w:p>
            <w:r>
              <w:rPr>
                <w:rFonts w:ascii="Arial" w:hAnsi="Arial"/>
                <w:color w:val="6B7280"/>
                <w:sz w:val="16"/>
              </w:rPr>
              <w:t>Payroll taxes added under My Tax Products in RAV01.</w:t>
            </w:r>
          </w:p>
        </w:tc>
        <w:tc>
          <w:tcPr>
            <w:tcW w:type="dxa" w:w="3202"/>
            <w:tcMar>
              <w:top w:w="100" w:type="dxa"/>
              <w:bottom w:w="100" w:type="dxa"/>
              <w:left w:w="100" w:type="dxa"/>
              <w:right w:w="100" w:type="dxa"/>
            </w:tcMar>
          </w:tcPr>
          <w:p>
            <w:pPr>
              <w:jc w:val="center"/>
            </w:pPr>
            <w:r>
              <w:rPr>
                <w:rFonts w:ascii="Arial" w:hAnsi="Arial"/>
                <w:color w:val="2B2F38"/>
                <w:sz w:val="17"/>
              </w:rPr>
              <w:t>[  ] Submitted</w:t>
            </w:r>
          </w:p>
        </w:tc>
      </w:tr>
      <w:tr>
        <w:tc>
          <w:tcPr>
            <w:tcW w:type="dxa" w:w="3202"/>
            <w:tcMar>
              <w:top w:w="100" w:type="dxa"/>
              <w:bottom w:w="100" w:type="dxa"/>
              <w:left w:w="100" w:type="dxa"/>
              <w:right w:w="100" w:type="dxa"/>
            </w:tcMar>
          </w:tcPr>
          <w:p>
            <w:r>
              <w:rPr>
                <w:rFonts w:ascii="Arial" w:hAnsi="Arial"/>
                <w:b/>
                <w:color w:val="2B2F38"/>
                <w:sz w:val="17"/>
              </w:rPr>
              <w:t>Allocated PAYE Number</w:t>
            </w:r>
          </w:p>
        </w:tc>
        <w:tc>
          <w:tcPr>
            <w:tcW w:type="dxa" w:w="3202"/>
            <w:tcMar>
              <w:top w:w="100" w:type="dxa"/>
              <w:bottom w:w="100" w:type="dxa"/>
              <w:left w:w="100" w:type="dxa"/>
              <w:right w:w="100" w:type="dxa"/>
            </w:tcMar>
          </w:tcPr>
          <w:p>
            <w:r>
              <w:rPr>
                <w:rFonts w:ascii="Arial" w:hAnsi="Arial"/>
                <w:color w:val="2B2F38"/>
                <w:sz w:val="16"/>
              </w:rPr>
              <w:t>10-digit PAYE Ref: 7____________________________</w:t>
            </w:r>
          </w:p>
        </w:tc>
        <w:tc>
          <w:tcPr>
            <w:tcW w:type="dxa" w:w="3202"/>
            <w:tcMar>
              <w:top w:w="100" w:type="dxa"/>
              <w:bottom w:w="100" w:type="dxa"/>
              <w:left w:w="100" w:type="dxa"/>
              <w:right w:w="100" w:type="dxa"/>
            </w:tcMar>
          </w:tcPr>
          <w:p>
            <w:pPr>
              <w:jc w:val="center"/>
            </w:pPr>
            <w:r>
              <w:rPr>
                <w:rFonts w:ascii="Arial" w:hAnsi="Arial"/>
                <w:color w:val="2B2F38"/>
                <w:sz w:val="17"/>
              </w:rPr>
              <w:t>[  ] Issued</w:t>
            </w:r>
          </w:p>
        </w:tc>
      </w:tr>
      <w:tr>
        <w:tc>
          <w:tcPr>
            <w:tcW w:type="dxa" w:w="3202"/>
            <w:tcMar>
              <w:top w:w="100" w:type="dxa"/>
              <w:bottom w:w="100" w:type="dxa"/>
              <w:left w:w="100" w:type="dxa"/>
              <w:right w:w="100" w:type="dxa"/>
            </w:tcMar>
          </w:tcPr>
          <w:p>
            <w:r>
              <w:rPr>
                <w:rFonts w:ascii="Arial" w:hAnsi="Arial"/>
                <w:b/>
                <w:color w:val="2B2F38"/>
                <w:sz w:val="17"/>
              </w:rPr>
              <w:t>Manage Tax Types Linked</w:t>
            </w:r>
          </w:p>
        </w:tc>
        <w:tc>
          <w:tcPr>
            <w:tcW w:type="dxa" w:w="3202"/>
            <w:tcMar>
              <w:top w:w="100" w:type="dxa"/>
              <w:bottom w:w="100" w:type="dxa"/>
              <w:left w:w="100" w:type="dxa"/>
              <w:right w:w="100" w:type="dxa"/>
            </w:tcMar>
          </w:tcPr>
          <w:p>
            <w:r>
              <w:rPr>
                <w:rFonts w:ascii="Arial" w:hAnsi="Arial"/>
                <w:color w:val="6B7280"/>
                <w:sz w:val="16"/>
              </w:rPr>
              <w:t>PAYE product linked and authorized via security OTP.</w:t>
            </w:r>
          </w:p>
        </w:tc>
        <w:tc>
          <w:tcPr>
            <w:tcW w:type="dxa" w:w="3202"/>
            <w:tcMar>
              <w:top w:w="100" w:type="dxa"/>
              <w:bottom w:w="100" w:type="dxa"/>
              <w:left w:w="100" w:type="dxa"/>
              <w:right w:w="100" w:type="dxa"/>
            </w:tcMar>
          </w:tcPr>
          <w:p>
            <w:pPr>
              <w:jc w:val="center"/>
            </w:pPr>
            <w:r>
              <w:rPr>
                <w:rFonts w:ascii="Arial" w:hAnsi="Arial"/>
                <w:color w:val="2B2F38"/>
                <w:sz w:val="17"/>
              </w:rPr>
              <w:t>[  ] Linked</w:t>
            </w:r>
          </w:p>
        </w:tc>
      </w:tr>
      <w:tr>
        <w:tc>
          <w:tcPr>
            <w:tcW w:type="dxa" w:w="3202"/>
            <w:tcMar>
              <w:top w:w="100" w:type="dxa"/>
              <w:bottom w:w="100" w:type="dxa"/>
              <w:left w:w="100" w:type="dxa"/>
              <w:right w:w="100" w:type="dxa"/>
            </w:tcMar>
          </w:tcPr>
          <w:p>
            <w:r>
              <w:rPr>
                <w:rFonts w:ascii="Arial" w:hAnsi="Arial"/>
                <w:b/>
                <w:color w:val="2B2F38"/>
                <w:sz w:val="17"/>
              </w:rPr>
              <w:t>Monthly Filing Workflow</w:t>
            </w:r>
          </w:p>
        </w:tc>
        <w:tc>
          <w:tcPr>
            <w:tcW w:type="dxa" w:w="3202"/>
            <w:tcMar>
              <w:top w:w="100" w:type="dxa"/>
              <w:bottom w:w="100" w:type="dxa"/>
              <w:left w:w="100" w:type="dxa"/>
              <w:right w:w="100" w:type="dxa"/>
            </w:tcMar>
          </w:tcPr>
          <w:p>
            <w:r>
              <w:rPr>
                <w:rFonts w:ascii="Arial" w:hAnsi="Arial"/>
                <w:color w:val="2B2F38"/>
                <w:sz w:val="16"/>
              </w:rPr>
              <w:t>First EMP201 monthly submission due 7th of next month.</w:t>
              <w:br/>
              <w:t>Assigned Person: ______________________________</w:t>
            </w:r>
          </w:p>
        </w:tc>
        <w:tc>
          <w:tcPr>
            <w:tcW w:type="dxa" w:w="3202"/>
            <w:tcMar>
              <w:top w:w="100" w:type="dxa"/>
              <w:bottom w:w="100" w:type="dxa"/>
              <w:left w:w="100" w:type="dxa"/>
              <w:right w:w="100" w:type="dxa"/>
            </w:tcMar>
          </w:tcPr>
          <w:p>
            <w:pPr>
              <w:jc w:val="center"/>
            </w:pPr>
            <w:r>
              <w:rPr>
                <w:rFonts w:ascii="Arial" w:hAnsi="Arial"/>
                <w:color w:val="2B2F38"/>
                <w:sz w:val="17"/>
              </w:rPr>
              <w:t>[  ] Active</w:t>
            </w:r>
          </w:p>
        </w:tc>
      </w:tr>
    </w:tbl>
    <w:sectPr w:rsidR="00FC693F" w:rsidRPr="0006063C" w:rsidSect="00034616">
      <w:headerReference w:type="default" r:id="rId9"/>
      <w:footerReference w:type="default" r:id="rId10"/>
      <w:pgSz w:w="11909" w:h="16834"/>
      <w:pgMar w:top="1152" w:right="1152" w:bottom="1152" w:left="1152"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Borders>
        <w:top w:val="single" w:sz="6" w:space="0" w:color="E5E7EB"/>
      </w:tblBorders>
    </w:tblPr>
    <w:tblGrid>
      <w:gridCol w:w="6912"/>
      <w:gridCol w:w="2693"/>
    </w:tblGrid>
    <w:tr>
      <w:tc>
        <w:tcPr>
          <w:tcW w:type="dxa" w:w="4802"/>
        </w:tcPr>
        <w:p>
          <w:pPr>
            <w:spacing w:before="80" w:after="0"/>
          </w:pPr>
          <w:r>
            <w:rPr>
              <w:rFonts w:ascii="Arial" w:hAnsi="Arial"/>
              <w:color w:val="6B7280"/>
              <w:sz w:val="16"/>
            </w:rPr>
            <w:t xml:space="preserve">Need business advice? Visit </w:t>
          </w:r>
          <w:r>
            <w:rPr>
              <w:rFonts w:ascii="Arial" w:hAnsi="Arial"/>
              <w:b/>
              <w:color w:val="2B2F38"/>
              <w:sz w:val="16"/>
            </w:rPr>
            <w:t>saaccountingsolutions.co.za</w:t>
            <w:br/>
          </w:r>
          <w:r>
            <w:rPr>
              <w:rFonts w:ascii="Arial" w:hAnsi="Arial"/>
              <w:color w:val="6B7280"/>
              <w:sz w:val="15"/>
            </w:rPr>
            <w:t>© SA Accounting Network • All rights reserved</w:t>
          </w:r>
        </w:p>
      </w:tc>
      <w:tc>
        <w:tcPr>
          <w:tcW w:type="dxa" w:w="4802"/>
        </w:tcPr>
        <w:p>
          <w:pPr>
            <w:spacing w:before="80" w:after="0"/>
            <w:jc w:val="right"/>
          </w:pPr>
          <w:r>
            <w:rPr>
              <w:rFonts w:ascii="Arial" w:hAnsi="Arial"/>
              <w:color w:val="6B7280"/>
              <w:sz w:val="16"/>
            </w:rPr>
            <w:t>Business Mentoring Guide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Borders>
        <w:bottom w:val="single" w:sz="12" w:space="0" w:color="D4A243"/>
      </w:tblBorders>
    </w:tblPr>
    <w:tblGrid>
      <w:gridCol w:w="6480"/>
      <w:gridCol w:w="3125"/>
    </w:tblGrid>
    <w:tr>
      <w:tc>
        <w:tcPr>
          <w:tcW w:type="dxa" w:w="4802"/>
        </w:tcPr>
        <w:p>
          <w:pPr>
            <w:spacing w:before="0" w:after="40"/>
          </w:pPr>
          <w:r>
            <w:rPr>
              <w:rFonts w:ascii="Arial" w:hAnsi="Arial"/>
              <w:b/>
              <w:color w:val="2B2F38"/>
              <w:sz w:val="19"/>
            </w:rPr>
            <w:t>SA ACCOUNTING NETWORK</w:t>
            <w:br/>
          </w:r>
          <w:r>
            <w:rPr>
              <w:rFonts w:ascii="Arial" w:hAnsi="Arial"/>
              <w:color w:val="6B7280"/>
              <w:sz w:val="17"/>
            </w:rPr>
            <w:t>Free Business Mentoring Program</w:t>
          </w:r>
        </w:p>
      </w:tc>
      <w:tc>
        <w:tcPr>
          <w:tcW w:type="dxa" w:w="4802"/>
        </w:tcPr>
        <w:p>
          <w:pPr>
            <w:spacing w:before="0" w:after="40"/>
            <w:jc w:val="right"/>
          </w:pPr>
          <w:r>
            <w:rPr>
              <w:rFonts w:ascii="Arial" w:hAnsi="Arial"/>
              <w:b/>
              <w:color w:val="D4A243"/>
              <w:sz w:val="17"/>
            </w:rPr>
            <w:t>PAYROLL &amp; TAX</w:t>
            <w:br/>
          </w:r>
          <w:r>
            <w:rPr>
              <w:rFonts w:ascii="Arial" w:hAnsi="Arial"/>
              <w:b/>
              <w:color w:val="2B2F38"/>
              <w:sz w:val="18"/>
            </w:rPr>
            <w:t>WORKSHEET 2.7</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